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20" w:rsidRPr="00E529F6" w:rsidRDefault="00E27320" w:rsidP="00E529F6">
      <w:pPr>
        <w:widowControl w:val="0"/>
        <w:autoSpaceDE w:val="0"/>
        <w:autoSpaceDN w:val="0"/>
        <w:adjustRightInd w:val="0"/>
        <w:spacing w:after="0" w:line="240" w:lineRule="auto"/>
        <w:ind w:left="8364" w:right="-143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Приложение </w:t>
      </w:r>
      <w:r w:rsidR="0090467A" w:rsidRPr="00E529F6">
        <w:rPr>
          <w:rFonts w:ascii="Times New Roman" w:hAnsi="Times New Roman"/>
          <w:sz w:val="28"/>
          <w:szCs w:val="24"/>
        </w:rPr>
        <w:t>4</w:t>
      </w:r>
    </w:p>
    <w:p w:rsidR="00E27320" w:rsidRPr="001F409D" w:rsidRDefault="0090467A" w:rsidP="00E529F6">
      <w:pPr>
        <w:spacing w:line="240" w:lineRule="auto"/>
        <w:ind w:left="8364" w:right="-143"/>
        <w:jc w:val="center"/>
        <w:rPr>
          <w:rFonts w:ascii="Times New Roman" w:hAnsi="Times New Roman"/>
          <w:color w:val="000000"/>
          <w:sz w:val="28"/>
          <w:szCs w:val="24"/>
        </w:rPr>
      </w:pPr>
      <w:r w:rsidRPr="00E529F6">
        <w:rPr>
          <w:rFonts w:ascii="Times New Roman" w:hAnsi="Times New Roman"/>
          <w:color w:val="000000"/>
          <w:sz w:val="28"/>
          <w:szCs w:val="24"/>
        </w:rPr>
        <w:t>к муниципальной программе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</w:t>
      </w:r>
    </w:p>
    <w:p w:rsidR="00E27320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:rsidR="004C159B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Правовое регулирование </w:t>
      </w:r>
    </w:p>
    <w:p w:rsidR="0090467A" w:rsidRPr="00E529F6" w:rsidRDefault="0090467A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>муниципальной</w:t>
      </w:r>
      <w:r w:rsidR="00E27320" w:rsidRPr="00E529F6">
        <w:rPr>
          <w:rFonts w:ascii="Times New Roman" w:hAnsi="Times New Roman"/>
          <w:sz w:val="28"/>
          <w:szCs w:val="24"/>
        </w:rPr>
        <w:t xml:space="preserve"> программы «Управление </w:t>
      </w:r>
      <w:r w:rsidRPr="00E529F6">
        <w:rPr>
          <w:rFonts w:ascii="Times New Roman" w:hAnsi="Times New Roman"/>
          <w:sz w:val="28"/>
          <w:szCs w:val="24"/>
        </w:rPr>
        <w:t>муниципальными</w:t>
      </w:r>
      <w:r w:rsidR="00E27320" w:rsidRPr="00E529F6">
        <w:rPr>
          <w:rFonts w:ascii="Times New Roman" w:hAnsi="Times New Roman"/>
          <w:sz w:val="28"/>
          <w:szCs w:val="24"/>
        </w:rPr>
        <w:t xml:space="preserve"> финансами </w:t>
      </w:r>
    </w:p>
    <w:p w:rsidR="00E27320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и </w:t>
      </w:r>
      <w:r w:rsidR="0090467A" w:rsidRPr="00E529F6">
        <w:rPr>
          <w:rFonts w:ascii="Times New Roman" w:hAnsi="Times New Roman"/>
          <w:sz w:val="28"/>
          <w:szCs w:val="24"/>
        </w:rPr>
        <w:t>обеспечение сбалансированности бюджета Златоустовского городского округа</w:t>
      </w:r>
      <w:r w:rsidRPr="00E529F6">
        <w:rPr>
          <w:rFonts w:ascii="Times New Roman" w:hAnsi="Times New Roman"/>
          <w:sz w:val="28"/>
          <w:szCs w:val="24"/>
        </w:rPr>
        <w:t>»</w:t>
      </w:r>
    </w:p>
    <w:p w:rsidR="00E27320" w:rsidRPr="00240142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60"/>
      </w:tblPr>
      <w:tblGrid>
        <w:gridCol w:w="640"/>
        <w:gridCol w:w="7015"/>
        <w:gridCol w:w="3685"/>
        <w:gridCol w:w="3261"/>
      </w:tblGrid>
      <w:tr w:rsidR="00E27320" w:rsidRPr="006620FA" w:rsidTr="000D189F">
        <w:trPr>
          <w:trHeight w:val="6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681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681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акта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681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</w:t>
            </w:r>
            <w:r w:rsidR="005501FF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участники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681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сроки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принятия</w:t>
            </w:r>
            <w:r w:rsidR="00A01C13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(внесения изменений)</w:t>
            </w:r>
          </w:p>
        </w:tc>
      </w:tr>
      <w:tr w:rsidR="00096B6C" w:rsidRPr="006620FA" w:rsidTr="000D189F">
        <w:trPr>
          <w:trHeight w:val="8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E1863" w:rsidRDefault="00096B6C" w:rsidP="003E76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Собрания депутатов Златоустовского городского округа о Положении о бюджетном проце</w:t>
            </w:r>
            <w:r w:rsidR="000D1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ссе муниципального образования -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Златоустовский городской округ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85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0FA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85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0D189F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E1863" w:rsidRDefault="001E61FC" w:rsidP="00455D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</w:t>
            </w:r>
            <w:r w:rsidR="00096B6C"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Собрания депутатов Златоустовского городского округа о бюджете Златоустовского городского округа на очередной финансовый год и на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 Златоустов</w:t>
            </w:r>
            <w:r w:rsidR="000D1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ского городского округа (далее -</w:t>
            </w: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Финансовое управление)    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5501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 в соответствии </w:t>
            </w:r>
            <w:r w:rsidR="001E61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 сроками, установленными муниципальными правовыми актами Златоустовского городского округа     </w:t>
            </w:r>
          </w:p>
        </w:tc>
      </w:tr>
      <w:tr w:rsidR="00096B6C" w:rsidRPr="006620FA" w:rsidTr="000D189F">
        <w:trPr>
          <w:trHeight w:val="5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E1863" w:rsidRDefault="00096B6C" w:rsidP="003E76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Собрания депутатов Златоустовского городского округа </w:t>
            </w:r>
            <w:r w:rsidR="001E61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внесении изменений в Решение 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Собрания депутатов Златоустовского городского округа о бюджете Златоустовского городского округа на очередной финансовый год 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17243F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0D189F">
        <w:trPr>
          <w:trHeight w:val="8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E1863" w:rsidRDefault="001E61FC" w:rsidP="00455D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="00096B6C"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Собрания депутатов Златоустовского городского округа об исполнении бюджета Златоустовского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096B6C"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DE0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0FA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   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6620FA" w:rsidRDefault="00096B6C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     </w:t>
            </w:r>
          </w:p>
        </w:tc>
      </w:tr>
      <w:tr w:rsidR="00096B6C" w:rsidRPr="006620FA" w:rsidTr="000D189F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AA307F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F70E0C" w:rsidRDefault="001E61FC" w:rsidP="00647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096B6C" w:rsidRPr="00810689">
              <w:rPr>
                <w:rFonts w:ascii="Times New Roman" w:hAnsi="Times New Roman"/>
                <w:sz w:val="24"/>
                <w:szCs w:val="24"/>
              </w:rPr>
              <w:t>Собрания депутатов Златоустовского городского округа  о</w:t>
            </w:r>
            <w:r w:rsidR="00647613" w:rsidRPr="00810689">
              <w:rPr>
                <w:rFonts w:ascii="Times New Roman" w:hAnsi="Times New Roman"/>
                <w:sz w:val="24"/>
                <w:szCs w:val="24"/>
              </w:rPr>
              <w:t xml:space="preserve">бутверждении Порядка </w:t>
            </w:r>
            <w:r w:rsidR="00096B6C" w:rsidRPr="00810689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647613" w:rsidRPr="00810689">
              <w:rPr>
                <w:rFonts w:ascii="Times New Roman" w:hAnsi="Times New Roman"/>
                <w:sz w:val="24"/>
                <w:szCs w:val="24"/>
              </w:rPr>
              <w:t>я</w:t>
            </w:r>
            <w:r w:rsidR="00096B6C" w:rsidRPr="00810689">
              <w:rPr>
                <w:rFonts w:ascii="Times New Roman" w:hAnsi="Times New Roman"/>
                <w:sz w:val="24"/>
                <w:szCs w:val="24"/>
              </w:rPr>
              <w:t xml:space="preserve"> муниципальных гарантий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AA307F" w:rsidRDefault="00096B6C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AA307F" w:rsidRDefault="0017243F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4C0CF7" w:rsidRPr="006620FA" w:rsidTr="000D189F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F7" w:rsidRPr="008E281F" w:rsidRDefault="004C0CF7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F7" w:rsidRPr="006E1863" w:rsidRDefault="004C0CF7" w:rsidP="00427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Златоустовского городского округа </w:t>
            </w:r>
            <w:r w:rsidR="001E61F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Решения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Собрания депутатов Златоустовского городского округа по местным налогам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F7" w:rsidRPr="008E281F" w:rsidRDefault="004C0CF7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F7" w:rsidRPr="008E281F" w:rsidRDefault="0017243F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0D189F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6E1863" w:rsidRDefault="00096B6C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 порядке составления  проекта бюджета 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271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271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необходимости    </w:t>
            </w:r>
          </w:p>
        </w:tc>
      </w:tr>
      <w:tr w:rsidR="00096B6C" w:rsidRPr="006620FA" w:rsidTr="000D189F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E" w:rsidRPr="006E1863" w:rsidRDefault="0009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 публичных слушаниях по проекту решения  Собрания депутатов Златоустовского городского округа о  бюджете Златоустовского городского округа на очередной финансовый год 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85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85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0D189F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6E1863" w:rsidRDefault="00096B6C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об итогах проведения публичных слушаний по проекту решения о бюджете Златоустовского городского округа </w:t>
            </w:r>
            <w:r w:rsidR="001E61FC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на очередной финансовый год 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85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85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0D189F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680F3F" w:rsidRDefault="00096B6C" w:rsidP="006E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E1863" w:rsidRPr="006E1863">
              <w:rPr>
                <w:rFonts w:ascii="Times New Roman" w:hAnsi="Times New Roman"/>
                <w:sz w:val="24"/>
                <w:szCs w:val="24"/>
              </w:rPr>
              <w:t>о мерах по обеспечению исполнения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D820A2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необходимости    </w:t>
            </w:r>
          </w:p>
        </w:tc>
      </w:tr>
      <w:tr w:rsidR="00096B6C" w:rsidRPr="006620FA" w:rsidTr="000D189F">
        <w:trPr>
          <w:trHeight w:val="12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8E281F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8A" w:rsidRPr="006E1863" w:rsidRDefault="00096B6C" w:rsidP="00531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об утверждении </w:t>
            </w:r>
            <w:r w:rsidR="003E7603" w:rsidRPr="006E1863">
              <w:rPr>
                <w:rFonts w:ascii="Times New Roman" w:hAnsi="Times New Roman"/>
                <w:sz w:val="24"/>
                <w:szCs w:val="24"/>
              </w:rPr>
              <w:t xml:space="preserve">плана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5012EB" w:rsidRPr="006E1863">
              <w:rPr>
                <w:rFonts w:ascii="Times New Roman" w:hAnsi="Times New Roman"/>
                <w:sz w:val="24"/>
                <w:szCs w:val="24"/>
              </w:rPr>
              <w:t>по увеличению эффективности использования собственной доходной базы бюджета Златоустовского городского округаи плана мероприятий, направленных на оптимизацию расходов бюджета Златоустовского городского округа без учета средств областного</w:t>
            </w:r>
          </w:p>
          <w:p w:rsidR="005012EB" w:rsidRPr="006E1863" w:rsidRDefault="005012EB" w:rsidP="00531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и федерального бюджетов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8E281F" w:rsidRDefault="00096B6C" w:rsidP="00342E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6C" w:rsidRPr="008E281F" w:rsidRDefault="006E1863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0D189F">
        <w:trPr>
          <w:trHeight w:val="96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6E1863" w:rsidRDefault="00096B6C" w:rsidP="00C61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</w:t>
            </w:r>
            <w:r w:rsidR="00C617ED" w:rsidRPr="006E1863">
              <w:rPr>
                <w:rFonts w:ascii="Times New Roman" w:hAnsi="Times New Roman"/>
                <w:sz w:val="24"/>
                <w:szCs w:val="24"/>
              </w:rPr>
              <w:t xml:space="preserve"> о Порядке использования бюджетных ассигнований резервного фонда Администрации Златоустовского городского округа, а также средств, иным образом зарезервированных </w:t>
            </w:r>
            <w:r w:rsidR="001E61FC">
              <w:rPr>
                <w:rFonts w:ascii="Times New Roman" w:hAnsi="Times New Roman"/>
                <w:sz w:val="24"/>
                <w:szCs w:val="24"/>
              </w:rPr>
              <w:br/>
            </w:r>
            <w:r w:rsidR="00C617ED" w:rsidRPr="006E1863">
              <w:rPr>
                <w:rFonts w:ascii="Times New Roman" w:hAnsi="Times New Roman"/>
                <w:sz w:val="24"/>
                <w:szCs w:val="24"/>
              </w:rPr>
              <w:t>в составе утвержденных бюджетных ассигнований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необходимости </w:t>
            </w:r>
          </w:p>
        </w:tc>
      </w:tr>
      <w:tr w:rsidR="00096B6C" w:rsidRPr="006620FA" w:rsidTr="000D189F">
        <w:trPr>
          <w:trHeight w:val="17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680F3F" w:rsidRDefault="00096B6C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Постановление Администрации Зла</w:t>
            </w:r>
            <w:r w:rsidR="001E61FC">
              <w:rPr>
                <w:rFonts w:ascii="Times New Roman" w:hAnsi="Times New Roman"/>
                <w:sz w:val="24"/>
                <w:szCs w:val="24"/>
              </w:rPr>
              <w:t xml:space="preserve">тоустовского городского округа 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>о порядке осуществления муниципальным бюджетным учреждением полномочий органа местного самоуправления Златоустовского городского округа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6C" w:rsidRPr="008E281F" w:rsidRDefault="00096B6C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8943C2" w:rsidRPr="006620FA" w:rsidTr="000D189F">
        <w:trPr>
          <w:trHeight w:val="6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2" w:rsidRPr="008E281F" w:rsidRDefault="008943C2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2" w:rsidRPr="00680F3F" w:rsidRDefault="008943C2" w:rsidP="00EC0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Административно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>м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по организации исполнения судебных актов о взыскании денежных средств по искам к Златоустовскому городскому округу и судебных актов, предусматривающих обращение взыскания на средства бюджета округа по денежным обязательствам получателей средств бюджета округа, учета </w:t>
            </w:r>
            <w:r w:rsidR="001E61FC">
              <w:rPr>
                <w:rFonts w:ascii="Times New Roman" w:hAnsi="Times New Roman"/>
                <w:sz w:val="24"/>
                <w:szCs w:val="24"/>
              </w:rPr>
              <w:br/>
            </w:r>
            <w:r w:rsidRPr="00EC00B4">
              <w:rPr>
                <w:rFonts w:ascii="Times New Roman" w:hAnsi="Times New Roman"/>
                <w:sz w:val="24"/>
                <w:szCs w:val="24"/>
              </w:rPr>
              <w:t>и хранения исполнительных документов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2" w:rsidRPr="008E281F" w:rsidRDefault="008943C2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2" w:rsidRPr="008E281F" w:rsidRDefault="008943C2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0D189F">
        <w:trPr>
          <w:trHeight w:val="6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осуществлении муниципальных заимствований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997361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утверждении типовых форм и перечня документов, представляемых для получения муниципальной гарантии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 порядке предоставления грантов главным распорядителям средств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1B34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1B34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0D189F">
        <w:trPr>
          <w:trHeight w:val="7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6E1863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исполнении бюджета Златоустовского городского округа за отчетный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Default="009973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Ежеквартально (по итогам 1 квартала, </w:t>
            </w:r>
            <w:r w:rsidRPr="005012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полугоди</w:t>
            </w:r>
            <w:r w:rsidRPr="005012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9 месяцев)</w:t>
            </w:r>
          </w:p>
        </w:tc>
      </w:tr>
      <w:tr w:rsidR="00997361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6E1863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 публичных слушаниях по проекту Решения Собрания депутатов Златоустовского городского округа об исполнении  бюджета Златоустовского городского округа 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1B34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1B34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97361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6E1863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итогах проведения публичных слушаний  по проекту решения об исполнении  бюджета Златоустовского городского округа 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97361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997361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об утверждении Административного регламента </w:t>
            </w:r>
            <w:r w:rsidR="001E61FC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 предоставлению муниципальной услуги по даче письменных разъяснений налогоплательщикам и налоговым агентам </w:t>
            </w:r>
            <w:r w:rsidR="001E61FC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 вопросам применения муниципальных правовых актов </w:t>
            </w:r>
            <w:r w:rsidR="001E61FC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>о налогах и сборах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997361" w:rsidRDefault="00997361" w:rsidP="00271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271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997361" w:rsidRDefault="00997361" w:rsidP="0099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361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утверждении Порядка формирования перечня налоговых расходов и оценки налоговых расходов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997361" w:rsidRDefault="00997361" w:rsidP="00271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271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</w:t>
            </w:r>
            <w:r w:rsidR="00971109">
              <w:rPr>
                <w:rFonts w:ascii="Times New Roman" w:hAnsi="Times New Roman"/>
                <w:sz w:val="24"/>
                <w:szCs w:val="24"/>
              </w:rPr>
              <w:t>тоустовского городского округа 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б утверждении Порядка привлечения остатков средств </w:t>
            </w:r>
            <w:r w:rsidR="001E61FC">
              <w:rPr>
                <w:rFonts w:ascii="Times New Roman" w:hAnsi="Times New Roman"/>
                <w:sz w:val="24"/>
                <w:szCs w:val="24"/>
              </w:rPr>
              <w:br/>
            </w:r>
            <w:r w:rsidRPr="00E67BAF">
              <w:rPr>
                <w:rFonts w:ascii="Times New Roman" w:hAnsi="Times New Roman"/>
                <w:sz w:val="24"/>
                <w:szCs w:val="24"/>
              </w:rPr>
              <w:t>с казначейских счетов на единый счет бюджета Златоустовского городского округа и их возврата на казначейские счета, с которых они были ранее перечислены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271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61" w:rsidRPr="008E281F" w:rsidRDefault="00997361" w:rsidP="00271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необходимости     </w:t>
            </w:r>
          </w:p>
        </w:tc>
      </w:tr>
      <w:tr w:rsidR="0092529A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9A" w:rsidRPr="008E281F" w:rsidRDefault="0092529A" w:rsidP="00780A2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9A" w:rsidRPr="00680F3F" w:rsidRDefault="0092529A" w:rsidP="00780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>б утверждении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перечня главных администраторов доходов бюджета Златоустовского городского округа и порядка </w:t>
            </w:r>
            <w:r w:rsidRPr="00971109">
              <w:rPr>
                <w:rFonts w:ascii="Times New Roman" w:hAnsi="Times New Roman"/>
                <w:bCs/>
                <w:sz w:val="24"/>
                <w:szCs w:val="24"/>
              </w:rPr>
              <w:t xml:space="preserve">внесения изменений в перечень главных администраторов доходов 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>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9A" w:rsidRPr="008E281F" w:rsidRDefault="0092529A" w:rsidP="00780A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9A" w:rsidRPr="008E281F" w:rsidRDefault="0092529A" w:rsidP="00780A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BE5419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9" w:rsidRPr="008E281F" w:rsidRDefault="00BE5419" w:rsidP="00780A2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9" w:rsidRPr="00E67BAF" w:rsidRDefault="00BE5419" w:rsidP="00780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</w:t>
            </w:r>
            <w:r w:rsidRPr="00BE5419">
              <w:rPr>
                <w:rFonts w:ascii="Times New Roman" w:hAnsi="Times New Roman"/>
                <w:sz w:val="24"/>
                <w:szCs w:val="24"/>
              </w:rPr>
              <w:t>об утверждении Порядка осуществления Финансовым управлением Златоустовского городского округа казначейского сопровождения средств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9" w:rsidRPr="008E281F" w:rsidRDefault="00BE5419" w:rsidP="00780A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9" w:rsidRPr="008E281F" w:rsidRDefault="00BE5419" w:rsidP="00780A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680F3F" w:rsidRDefault="00971109" w:rsidP="00925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>б утверждении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перечня главных администраторов </w:t>
            </w:r>
            <w:r w:rsidR="0092529A">
              <w:rPr>
                <w:rFonts w:ascii="Times New Roman" w:hAnsi="Times New Roman"/>
                <w:sz w:val="24"/>
                <w:szCs w:val="24"/>
              </w:rPr>
              <w:t xml:space="preserve">источников финансирования дефицита 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бюджета Златоустовского городского округа и порядка </w:t>
            </w:r>
            <w:r w:rsidRPr="00971109">
              <w:rPr>
                <w:rFonts w:ascii="Times New Roman" w:hAnsi="Times New Roman"/>
                <w:bCs/>
                <w:sz w:val="24"/>
                <w:szCs w:val="24"/>
              </w:rPr>
              <w:t xml:space="preserve">внесения изменений в перечень главных администраторов </w:t>
            </w:r>
            <w:r w:rsidR="0092529A">
              <w:rPr>
                <w:rFonts w:ascii="Times New Roman" w:hAnsi="Times New Roman"/>
                <w:bCs/>
                <w:sz w:val="24"/>
                <w:szCs w:val="24"/>
              </w:rPr>
              <w:t>источников финансирования дефицита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>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780A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2529A" w:rsidP="00780A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0D189F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Распоряжение Администрации Златоустовского городского округа о  Графике подготовки и рассмотрения материалов, необходимых для составления проекта решения о бюджете  Златоустовского городского округа на очередной финансовый год и плановый период и создании бюджетной комиссии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271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271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71109" w:rsidRPr="006620FA" w:rsidTr="000D189F">
        <w:trPr>
          <w:trHeight w:val="80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6E1863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Регламенте работы </w:t>
            </w:r>
            <w:r w:rsidR="001E61FC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>по составлению проекта бюджета городского округа на очередной финансовый год 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необходимости     </w:t>
            </w:r>
          </w:p>
        </w:tc>
      </w:tr>
      <w:tr w:rsidR="00971109" w:rsidRPr="006620FA" w:rsidTr="000D189F">
        <w:trPr>
          <w:trHeight w:val="6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E1863" w:rsidRDefault="00971109" w:rsidP="00455D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Финансового управления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утверждении Методики </w:t>
            </w:r>
            <w:r w:rsidR="001E61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порядка планирования бюджетных ассигнований бюджета Златоустовского городского округа на очередной финансовый год 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     </w:t>
            </w:r>
          </w:p>
        </w:tc>
      </w:tr>
      <w:tr w:rsidR="00971109" w:rsidRPr="006620FA" w:rsidTr="000D189F">
        <w:trPr>
          <w:trHeight w:val="6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 w:rsidP="002F13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453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0453CD">
              <w:rPr>
                <w:rFonts w:ascii="Times New Roman" w:hAnsi="Times New Roman"/>
                <w:sz w:val="24"/>
                <w:szCs w:val="24"/>
              </w:rPr>
              <w:t xml:space="preserve">Финансового управления об утверждении Положения </w:t>
            </w:r>
            <w:r w:rsidR="001E61FC">
              <w:rPr>
                <w:rFonts w:ascii="Times New Roman" w:hAnsi="Times New Roman"/>
                <w:sz w:val="24"/>
                <w:szCs w:val="24"/>
              </w:rPr>
              <w:br/>
            </w:r>
            <w:r w:rsidRPr="000453CD">
              <w:rPr>
                <w:rFonts w:ascii="Times New Roman" w:hAnsi="Times New Roman"/>
                <w:sz w:val="24"/>
                <w:szCs w:val="24"/>
              </w:rPr>
              <w:t>о порядке ведения муниципальной долговой книги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B410A5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B41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необходимости     </w:t>
            </w:r>
          </w:p>
        </w:tc>
      </w:tr>
      <w:tr w:rsidR="00647613" w:rsidRPr="00810689" w:rsidTr="000D189F">
        <w:trPr>
          <w:trHeight w:val="6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13" w:rsidRPr="00810689" w:rsidRDefault="00647613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13" w:rsidRPr="00810689" w:rsidRDefault="00647613" w:rsidP="002F13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об утверждении Порядка и сроков предоставления документов принципалом и бенефициаром</w:t>
            </w:r>
            <w:r w:rsidR="00F70E0C"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подтверждающих </w:t>
            </w:r>
            <w:r w:rsidR="001E61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F70E0C"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 соответствие требованиям, установленным абзацем первым пункта 16 статьи 241 Бюджетного кодекса Российской Федерации, после предоставления муниципальной гарантии Златоустовского городского округа, в том числе в случае предъявления требований об исполнении муниципальной гарантии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13" w:rsidRPr="00810689" w:rsidRDefault="00F70E0C" w:rsidP="00B410A5">
            <w:pPr>
              <w:rPr>
                <w:rFonts w:ascii="Times New Roman" w:hAnsi="Times New Roman"/>
                <w:sz w:val="24"/>
                <w:szCs w:val="24"/>
              </w:rPr>
            </w:pPr>
            <w:r w:rsidRPr="0081068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13" w:rsidRPr="00810689" w:rsidRDefault="00F70E0C" w:rsidP="00B41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необходимости     </w:t>
            </w:r>
          </w:p>
        </w:tc>
      </w:tr>
      <w:tr w:rsidR="00F70E0C" w:rsidRPr="006620FA" w:rsidTr="000D189F">
        <w:trPr>
          <w:trHeight w:val="6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0C" w:rsidRPr="00810689" w:rsidRDefault="00F70E0C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0C" w:rsidRPr="00810689" w:rsidRDefault="00F70E0C" w:rsidP="00F70E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Златоустовского городского округа о сроке осуществления принципалом в случаях, </w:t>
            </w: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предусмотренных пунктом 5 статьи 115.3 Бюджетного кодекса Российской Федерации, замены обеспечения (полной </w:t>
            </w:r>
            <w:r w:rsidR="001E61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 частичной) либо предоставления дополнительного обеспечения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0C" w:rsidRPr="00810689" w:rsidRDefault="00F70E0C" w:rsidP="00B410A5">
            <w:pPr>
              <w:rPr>
                <w:rFonts w:ascii="Times New Roman" w:hAnsi="Times New Roman"/>
                <w:sz w:val="24"/>
                <w:szCs w:val="24"/>
              </w:rPr>
            </w:pPr>
            <w:r w:rsidRPr="00810689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0C" w:rsidRPr="00810689" w:rsidRDefault="00F70E0C" w:rsidP="00B410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необходимости     </w:t>
            </w:r>
          </w:p>
        </w:tc>
      </w:tr>
      <w:tr w:rsidR="00971109" w:rsidRPr="006620FA" w:rsidTr="000D189F">
        <w:trPr>
          <w:trHeight w:val="9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E1863" w:rsidRDefault="00971109" w:rsidP="000A166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Финансового управления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утверждении Перечня </w:t>
            </w:r>
            <w:r w:rsidR="001E61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кодов целевых статей расходов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Default="009711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,в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необходимости     </w:t>
            </w:r>
          </w:p>
        </w:tc>
      </w:tr>
      <w:tr w:rsidR="00971109" w:rsidRPr="006620FA" w:rsidTr="000D189F">
        <w:trPr>
          <w:trHeight w:val="9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6E1863" w:rsidRDefault="00971109" w:rsidP="00A10E49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Финансового управленияоб утверждении Порядка составления и ведения сводной бюджетной росписи </w:t>
            </w:r>
            <w:r w:rsidRPr="006E1863">
              <w:rPr>
                <w:rFonts w:ascii="Times New Roman" w:hAnsi="Times New Roman" w:cs="Times New Roman"/>
                <w:sz w:val="24"/>
                <w:szCs w:val="24"/>
              </w:rPr>
              <w:t>бюджета Златоустовского городского округа, бюджетных росписей главных распорядителей средств бюджета и главных администраторов источников финансирования дефицита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6E1863" w:rsidRDefault="00971109" w:rsidP="000A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составления и ведения кассового плана исполнения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утверждения и доведения предельных объемов финансирования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3B71AE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3B71AE" w:rsidRDefault="00971109" w:rsidP="00C2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 Порядке открытия и ведения лицевых счетов Финансовым управлением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7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 w:rsidP="00D01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60E6">
              <w:rPr>
                <w:rFonts w:ascii="Times New Roman" w:hAnsi="Times New Roman"/>
                <w:sz w:val="24"/>
                <w:szCs w:val="24"/>
              </w:rPr>
              <w:t>Приказ Финансового управления  о Порядке исполнения бюджета Златоустовского городского округа по расходам и источникам финансирования дефицита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spacing w:after="0" w:line="240" w:lineRule="auto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 w:rsidP="00CA004D">
            <w:pPr>
              <w:pStyle w:val="Default"/>
              <w:jc w:val="both"/>
              <w:rPr>
                <w:highlight w:val="yellow"/>
              </w:rPr>
            </w:pPr>
            <w:r w:rsidRPr="006860E6">
              <w:t xml:space="preserve">Приказ Финансового управления об утверждении Порядка санкционирования расходов муниципальных бюджетных </w:t>
            </w:r>
            <w:r w:rsidR="001E61FC">
              <w:br/>
            </w:r>
            <w:r w:rsidRPr="006860E6">
              <w:t>и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>
            <w:pPr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DE0A3C">
            <w:pPr>
              <w:spacing w:after="0" w:line="240" w:lineRule="auto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 w:rsidP="00476DFF">
            <w:pPr>
              <w:pStyle w:val="Default"/>
              <w:spacing w:after="200"/>
              <w:jc w:val="both"/>
              <w:rPr>
                <w:rStyle w:val="af0"/>
                <w:i w:val="0"/>
              </w:rPr>
            </w:pPr>
            <w:r w:rsidRPr="003B71AE">
              <w:rPr>
                <w:rStyle w:val="af0"/>
                <w:i w:val="0"/>
              </w:rPr>
              <w:t xml:space="preserve">Приказ Финансового управления об утверждении Порядка санкционирования расходов муниципальных унитарных предприятий, источником финансового обеспечения которых являются субсидии на осуществление капитальных вложений </w:t>
            </w:r>
            <w:r w:rsidR="001E61FC">
              <w:rPr>
                <w:rStyle w:val="af0"/>
                <w:i w:val="0"/>
              </w:rPr>
              <w:br/>
            </w:r>
            <w:r w:rsidRPr="003B71AE">
              <w:rPr>
                <w:rStyle w:val="af0"/>
                <w:i w:val="0"/>
              </w:rPr>
              <w:t xml:space="preserve">в объекты муниципальной собственности Златоустовского </w:t>
            </w:r>
            <w:r w:rsidRPr="003B71AE">
              <w:rPr>
                <w:rStyle w:val="af0"/>
                <w:i w:val="0"/>
              </w:rPr>
              <w:lastRenderedPageBreak/>
              <w:t>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476D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47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3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 w:rsidP="00A13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60E6">
              <w:rPr>
                <w:rFonts w:ascii="Times New Roman" w:hAnsi="Times New Roman"/>
                <w:sz w:val="24"/>
                <w:szCs w:val="24"/>
              </w:rPr>
              <w:t>Приказ Финансового управления о Порядке проведения операций  со средствами муниципальных бюджетных учреждений,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DE0A3C">
            <w:pPr>
              <w:spacing w:after="0" w:line="240" w:lineRule="auto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5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 w:rsidP="003E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взыскании неиспользованных остатков субсидий, предоставленных из бюджета Златоустовского городского округа муниципальным бюджетным учреждениям </w:t>
            </w:r>
            <w:r w:rsidR="001E61FC">
              <w:rPr>
                <w:rFonts w:ascii="Times New Roman" w:hAnsi="Times New Roman"/>
                <w:sz w:val="24"/>
                <w:szCs w:val="24"/>
              </w:rPr>
              <w:br/>
            </w:r>
            <w:r w:rsidRPr="00E67BAF">
              <w:rPr>
                <w:rFonts w:ascii="Times New Roman" w:hAnsi="Times New Roman"/>
                <w:sz w:val="24"/>
                <w:szCs w:val="24"/>
              </w:rPr>
              <w:t>и муниципальным автономным учреждениям, муниципальным унитарным предприятиям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spacing w:after="0" w:line="240" w:lineRule="auto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0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B71A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Приказ Финансового управления Златоустовского городского округа об утверждении порядка санкционирования расходов, источником финансового обеспечения которых являются субсидии юридическим лицам (за исключением субсидий муниципальным бюджетным и автономным учреждениям), </w:t>
            </w:r>
            <w:r w:rsidR="001E61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br/>
            </w:r>
            <w:r w:rsidRPr="003B71A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 также бюджетные инвестиции юридическим лицам, предоставляемые в соответствии со статьей 80 Бюджетного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 w:rsidP="003F0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0"/>
                <w:i w:val="0"/>
                <w:color w:val="000000" w:themeColor="text1"/>
              </w:rPr>
            </w:pPr>
            <w:r w:rsidRPr="00E67BAF">
              <w:rPr>
                <w:rStyle w:val="af0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Приказ Финансового управления об утверждении Порядка учета сведений об обязательствах и договорах муниципальных бюджетных и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896923" w:rsidRPr="006620FA" w:rsidTr="000D189F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23" w:rsidRPr="008E281F" w:rsidRDefault="00896923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23" w:rsidRPr="00E67BAF" w:rsidRDefault="00896923" w:rsidP="001E61FC">
            <w:pPr>
              <w:pStyle w:val="ConsPlusTitle"/>
              <w:widowControl/>
              <w:ind w:right="67"/>
              <w:jc w:val="both"/>
              <w:rPr>
                <w:rStyle w:val="af0"/>
                <w:i w:val="0"/>
                <w:color w:val="000000" w:themeColor="text1"/>
              </w:rPr>
            </w:pPr>
            <w:r w:rsidRPr="00896923">
              <w:rPr>
                <w:b w:val="0"/>
                <w:iCs/>
                <w:color w:val="000000" w:themeColor="text1"/>
              </w:rPr>
              <w:t>Приказ Финансового управления Златоустовского городского округа</w:t>
            </w:r>
            <w:r>
              <w:rPr>
                <w:b w:val="0"/>
              </w:rPr>
              <w:t>о</w:t>
            </w:r>
            <w:r w:rsidRPr="0019719B">
              <w:rPr>
                <w:b w:val="0"/>
              </w:rPr>
              <w:t xml:space="preserve">б утверждении </w:t>
            </w:r>
            <w:r>
              <w:rPr>
                <w:b w:val="0"/>
              </w:rPr>
              <w:t>П</w:t>
            </w:r>
            <w:r w:rsidRPr="0019719B">
              <w:rPr>
                <w:b w:val="0"/>
              </w:rPr>
              <w:t>орядка</w:t>
            </w:r>
            <w:r>
              <w:rPr>
                <w:b w:val="0"/>
              </w:rPr>
              <w:t xml:space="preserve"> осуществления Финансовым управлением Златоустовского городского округа санкционирования операций со средствами участников казначейского сопровождения при казначейско</w:t>
            </w:r>
            <w:bookmarkStart w:id="0" w:name="_GoBack"/>
            <w:bookmarkEnd w:id="0"/>
            <w:r>
              <w:rPr>
                <w:b w:val="0"/>
              </w:rPr>
              <w:t>м сопровождении целевых средств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23" w:rsidRPr="00896923" w:rsidRDefault="00896923" w:rsidP="00896923">
            <w:pPr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23" w:rsidRPr="008E281F" w:rsidRDefault="00896923" w:rsidP="009E5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14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EC00B4" w:rsidRDefault="00971109" w:rsidP="00A61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 утвержденииПорядка </w:t>
            </w:r>
          </w:p>
          <w:p w:rsidR="00971109" w:rsidRPr="00680F3F" w:rsidRDefault="00971109" w:rsidP="00A61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организации исполнения и ведения учета Финансовым управлением Златоустовского городского округа решений налогового органа о взыскании налога, сбора, страхового взноса, пеней и штрафов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spacing w:after="0" w:line="240" w:lineRule="auto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15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 w:rsidP="00AB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 об утверждении Порядка организации работы по исполнению судебных актов по обращению взыскания на средства бюджета Златоустовского городского округа, 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 xml:space="preserve">средства казенных учреждений, 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>средства бюджетных и автономных учреждений, учета и хранения исполнительных документов, выданных на основании указанных судебных актов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B03DE9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B03DE9">
            <w:pPr>
              <w:spacing w:after="0" w:line="240" w:lineRule="auto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9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завершения операций по исполнению бюджета Златоустовского городского округа в текущем финансовом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 w:rsidP="00A13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графика завершения операций по исполнению бюджета Златоустовского городского округа </w:t>
            </w:r>
            <w:r w:rsidRPr="003B71AE">
              <w:rPr>
                <w:rFonts w:ascii="Times New Roman" w:hAnsi="Times New Roman"/>
                <w:sz w:val="24"/>
              </w:rPr>
              <w:t>и операций муниципальных бюджетных учреждений,  муниципальных автономных учреждений, муниципальных унитарных</w:t>
            </w:r>
            <w:r w:rsidR="00A13532">
              <w:rPr>
                <w:rFonts w:ascii="Times New Roman" w:hAnsi="Times New Roman"/>
                <w:sz w:val="24"/>
              </w:rPr>
              <w:t>,</w:t>
            </w:r>
            <w:r w:rsidRPr="003B71AE">
              <w:rPr>
                <w:rFonts w:ascii="Times New Roman" w:hAnsi="Times New Roman"/>
                <w:sz w:val="24"/>
              </w:rPr>
              <w:t xml:space="preserve"> юридических лиц </w:t>
            </w:r>
            <w:r w:rsidR="00A13532">
              <w:rPr>
                <w:rFonts w:ascii="Times New Roman" w:hAnsi="Times New Roman"/>
                <w:sz w:val="24"/>
              </w:rPr>
              <w:t xml:space="preserve">и участников казначейского сопровождения </w:t>
            </w:r>
            <w:r w:rsidRPr="003B71AE">
              <w:rPr>
                <w:rFonts w:ascii="Times New Roman" w:hAnsi="Times New Roman"/>
                <w:sz w:val="24"/>
              </w:rPr>
              <w:t>в текущем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71109" w:rsidRPr="006620FA" w:rsidTr="000D189F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5D09AB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0F3F" w:rsidRDefault="00971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Приказ Златоустовского городского округа об утверждении Положения об организации проведения мониторинга качества финансового менеджмента, осуществляемого главными распорядителями средств и главными администраторами доходов бюджета Златоустовского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9E5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0453CD" w:rsidRDefault="00971109" w:rsidP="002E2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>Приказ Финансового управления о сроках представления главными администраторами бюджетных средств годовой отчетности об исполнении бюджета Златоустовского городского округа, сводной бухгалтерской отчетности бюджетных и автономных учреждений за отчетный год, месячной и квартальной отчетности в текущем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  <w:p w:rsidR="00971109" w:rsidRPr="008E281F" w:rsidRDefault="00971109" w:rsidP="009E5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109" w:rsidRPr="006620FA" w:rsidTr="000D189F">
        <w:trPr>
          <w:trHeight w:val="10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составления и представления годовой, квартальной и месячной бюджетной отчетности Златоустовского городского округа, сводной бухгалтерской отчетности муниципальных бюджетных и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pPr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971109" w:rsidRPr="008E281F" w:rsidRDefault="00971109" w:rsidP="0017243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10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C94FB0" w:rsidRDefault="00971109" w:rsidP="00EA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Приказ Финансового управления о закреплении полномочий администратора доходов и источников внутреннего финансирования дефицита бюджета Златоустовского городского округа за Финансовым управлением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C94FB0" w:rsidRDefault="00971109" w:rsidP="00B410A5">
            <w:pPr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971109" w:rsidRPr="00C94FB0" w:rsidRDefault="00971109" w:rsidP="009E5F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9E5F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9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681056" w:rsidRDefault="00971109" w:rsidP="00681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056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81056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перечень главных администраторов доходов бюджета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C94FB0" w:rsidRDefault="00971109"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5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C94FB0" w:rsidRDefault="00971109" w:rsidP="000C7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перечней кодов подвидов по видам доходов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C94FB0" w:rsidRDefault="00971109">
            <w:pPr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DE0A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D189F">
        <w:trPr>
          <w:trHeight w:val="9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EC00B4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внедрении юридически значимого электронного документооборота в автоматизированной системе «АЦК-Финансы» Финансового управления Златоустовского городского округа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352A5C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352A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240142" w:rsidTr="000D189F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EC00B4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размещении информации о деятельности Финансового управления в сети Интернет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09" w:rsidRPr="008E281F" w:rsidRDefault="00971109" w:rsidP="002103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240142" w:rsidTr="000D189F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680F3F" w:rsidRDefault="00971109" w:rsidP="00FA2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</w:t>
            </w:r>
            <w:r w:rsidRPr="006E1863">
              <w:rPr>
                <w:rFonts w:ascii="Times New Roman" w:hAnsi="Times New Roman"/>
                <w:sz w:val="24"/>
              </w:rPr>
              <w:t>Порядка применения бюджетной классификации Российской Федерации в части, относящейся к бюджету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3E1601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3E16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240142" w:rsidTr="000D189F">
        <w:trPr>
          <w:trHeight w:val="14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DE0A3C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680F3F" w:rsidRDefault="00971109" w:rsidP="008872C3">
            <w:pPr>
              <w:pStyle w:val="1"/>
              <w:spacing w:before="0" w:after="0"/>
              <w:jc w:val="both"/>
              <w:rPr>
                <w:rFonts w:ascii="Times New Roman" w:hAnsi="Times New Roman"/>
                <w:highlight w:val="yellow"/>
              </w:rPr>
            </w:pPr>
            <w:r w:rsidRPr="003B71AE">
              <w:rPr>
                <w:rFonts w:ascii="Times New Roman" w:hAnsi="Times New Roman"/>
                <w:b w:val="0"/>
              </w:rPr>
              <w:t xml:space="preserve">Приказ Финансового управления об утверждении </w:t>
            </w:r>
            <w:r w:rsidRPr="003B71AE">
              <w:rPr>
                <w:rFonts w:ascii="Times New Roman" w:hAnsi="Times New Roman" w:cs="Times New Roman"/>
                <w:b w:val="0"/>
              </w:rPr>
              <w:t xml:space="preserve">Порядка </w:t>
            </w:r>
            <w:r w:rsidRPr="003B71AE">
              <w:rPr>
                <w:rFonts w:ascii="Times New Roman" w:hAnsi="Times New Roman" w:cs="Times New Roman"/>
                <w:b w:val="0"/>
                <w:color w:val="auto"/>
              </w:rPr>
              <w:t xml:space="preserve">предоставления информации для формирования и ведения реестра участников бюджетного процесса, а также юридических лиц, не являющихся участниками бюджетного процесса Златоустовского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3E1601"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9" w:rsidRPr="008E281F" w:rsidRDefault="00971109" w:rsidP="003E16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</w:tbl>
    <w:p w:rsidR="007A1745" w:rsidRPr="00240142" w:rsidRDefault="007A174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A1745" w:rsidRPr="00240142" w:rsidSect="00E529F6">
      <w:headerReference w:type="default" r:id="rId7"/>
      <w:pgSz w:w="16838" w:h="11906" w:orient="landscape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FAE" w:rsidRDefault="00C73FAE" w:rsidP="00A46CA5">
      <w:pPr>
        <w:spacing w:after="0" w:line="240" w:lineRule="auto"/>
      </w:pPr>
      <w:r>
        <w:separator/>
      </w:r>
    </w:p>
  </w:endnote>
  <w:endnote w:type="continuationSeparator" w:id="1">
    <w:p w:rsidR="00C73FAE" w:rsidRDefault="00C73FAE" w:rsidP="00A4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FAE" w:rsidRDefault="00C73FAE" w:rsidP="00A46CA5">
      <w:pPr>
        <w:spacing w:after="0" w:line="240" w:lineRule="auto"/>
      </w:pPr>
      <w:r>
        <w:separator/>
      </w:r>
    </w:p>
  </w:footnote>
  <w:footnote w:type="continuationSeparator" w:id="1">
    <w:p w:rsidR="00C73FAE" w:rsidRDefault="00C73FAE" w:rsidP="00A4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56" w:rsidRPr="000A4F7F" w:rsidRDefault="00930CF3">
    <w:pPr>
      <w:pStyle w:val="a4"/>
      <w:jc w:val="center"/>
      <w:rPr>
        <w:rFonts w:ascii="Times New Roman" w:hAnsi="Times New Roman"/>
        <w:sz w:val="28"/>
        <w:szCs w:val="28"/>
      </w:rPr>
    </w:pPr>
    <w:r w:rsidRPr="000A4F7F">
      <w:rPr>
        <w:rFonts w:ascii="Times New Roman" w:hAnsi="Times New Roman"/>
        <w:sz w:val="28"/>
        <w:szCs w:val="28"/>
      </w:rPr>
      <w:fldChar w:fldCharType="begin"/>
    </w:r>
    <w:r w:rsidR="00681056" w:rsidRPr="000A4F7F">
      <w:rPr>
        <w:rFonts w:ascii="Times New Roman" w:hAnsi="Times New Roman"/>
        <w:sz w:val="28"/>
        <w:szCs w:val="28"/>
      </w:rPr>
      <w:instrText>PAGE   \* MERGEFORMAT</w:instrText>
    </w:r>
    <w:r w:rsidRPr="000A4F7F">
      <w:rPr>
        <w:rFonts w:ascii="Times New Roman" w:hAnsi="Times New Roman"/>
        <w:sz w:val="28"/>
        <w:szCs w:val="28"/>
      </w:rPr>
      <w:fldChar w:fldCharType="separate"/>
    </w:r>
    <w:r w:rsidR="007C4CA6">
      <w:rPr>
        <w:rFonts w:ascii="Times New Roman" w:hAnsi="Times New Roman"/>
        <w:noProof/>
        <w:sz w:val="28"/>
        <w:szCs w:val="28"/>
      </w:rPr>
      <w:t>9</w:t>
    </w:r>
    <w:r w:rsidRPr="000A4F7F">
      <w:rPr>
        <w:rFonts w:ascii="Times New Roman" w:hAnsi="Times New Roman"/>
        <w:sz w:val="28"/>
        <w:szCs w:val="28"/>
      </w:rPr>
      <w:fldChar w:fldCharType="end"/>
    </w:r>
  </w:p>
  <w:p w:rsidR="00681056" w:rsidRDefault="006810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3899"/>
    <w:multiLevelType w:val="multilevel"/>
    <w:tmpl w:val="14FC8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B6363C"/>
    <w:multiLevelType w:val="hybridMultilevel"/>
    <w:tmpl w:val="098EED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646DAD"/>
    <w:rsid w:val="00002522"/>
    <w:rsid w:val="00010AE1"/>
    <w:rsid w:val="00010E5F"/>
    <w:rsid w:val="000204A9"/>
    <w:rsid w:val="000204E6"/>
    <w:rsid w:val="0002678C"/>
    <w:rsid w:val="00036DA8"/>
    <w:rsid w:val="000453CD"/>
    <w:rsid w:val="000504A3"/>
    <w:rsid w:val="00072F0E"/>
    <w:rsid w:val="00085A8C"/>
    <w:rsid w:val="000964C5"/>
    <w:rsid w:val="00096B6C"/>
    <w:rsid w:val="000972DB"/>
    <w:rsid w:val="000A166C"/>
    <w:rsid w:val="000A4F7F"/>
    <w:rsid w:val="000B63D0"/>
    <w:rsid w:val="000C7573"/>
    <w:rsid w:val="000D189F"/>
    <w:rsid w:val="000D65D2"/>
    <w:rsid w:val="000E0A61"/>
    <w:rsid w:val="0010161C"/>
    <w:rsid w:val="0011675A"/>
    <w:rsid w:val="00125C97"/>
    <w:rsid w:val="001327B4"/>
    <w:rsid w:val="00140EA3"/>
    <w:rsid w:val="00154620"/>
    <w:rsid w:val="0016427D"/>
    <w:rsid w:val="0017243F"/>
    <w:rsid w:val="0017510E"/>
    <w:rsid w:val="00184B1D"/>
    <w:rsid w:val="00185E8B"/>
    <w:rsid w:val="00193C80"/>
    <w:rsid w:val="001B055E"/>
    <w:rsid w:val="001B34A4"/>
    <w:rsid w:val="001D02E5"/>
    <w:rsid w:val="001E61FC"/>
    <w:rsid w:val="001F409D"/>
    <w:rsid w:val="002103A2"/>
    <w:rsid w:val="00212F99"/>
    <w:rsid w:val="0021792D"/>
    <w:rsid w:val="00220DBF"/>
    <w:rsid w:val="00227845"/>
    <w:rsid w:val="00236E5A"/>
    <w:rsid w:val="00240142"/>
    <w:rsid w:val="00241FFF"/>
    <w:rsid w:val="002536D4"/>
    <w:rsid w:val="00257914"/>
    <w:rsid w:val="00271EC6"/>
    <w:rsid w:val="002738CE"/>
    <w:rsid w:val="00285131"/>
    <w:rsid w:val="00297427"/>
    <w:rsid w:val="002A550B"/>
    <w:rsid w:val="002A5886"/>
    <w:rsid w:val="002B1F71"/>
    <w:rsid w:val="002E2288"/>
    <w:rsid w:val="002E236E"/>
    <w:rsid w:val="002E41FB"/>
    <w:rsid w:val="002F1091"/>
    <w:rsid w:val="002F1301"/>
    <w:rsid w:val="002F4A63"/>
    <w:rsid w:val="0030224E"/>
    <w:rsid w:val="00311BF0"/>
    <w:rsid w:val="00322543"/>
    <w:rsid w:val="00325FA8"/>
    <w:rsid w:val="00330B4D"/>
    <w:rsid w:val="0033409F"/>
    <w:rsid w:val="00335676"/>
    <w:rsid w:val="00335A24"/>
    <w:rsid w:val="00342E8C"/>
    <w:rsid w:val="00343632"/>
    <w:rsid w:val="00352A5C"/>
    <w:rsid w:val="003667D4"/>
    <w:rsid w:val="0037598C"/>
    <w:rsid w:val="003803AD"/>
    <w:rsid w:val="0038664A"/>
    <w:rsid w:val="003A42E8"/>
    <w:rsid w:val="003B71AE"/>
    <w:rsid w:val="003C5D98"/>
    <w:rsid w:val="003C623A"/>
    <w:rsid w:val="003E1601"/>
    <w:rsid w:val="003E7603"/>
    <w:rsid w:val="003F0D6C"/>
    <w:rsid w:val="004106FC"/>
    <w:rsid w:val="004163C6"/>
    <w:rsid w:val="00426499"/>
    <w:rsid w:val="00427BAF"/>
    <w:rsid w:val="0044054B"/>
    <w:rsid w:val="00441551"/>
    <w:rsid w:val="00455DB2"/>
    <w:rsid w:val="00457A04"/>
    <w:rsid w:val="00461F9D"/>
    <w:rsid w:val="00475FEF"/>
    <w:rsid w:val="00476DFF"/>
    <w:rsid w:val="004771C5"/>
    <w:rsid w:val="0048313E"/>
    <w:rsid w:val="00483972"/>
    <w:rsid w:val="004924A1"/>
    <w:rsid w:val="00494B7E"/>
    <w:rsid w:val="004A4F79"/>
    <w:rsid w:val="004B0E22"/>
    <w:rsid w:val="004B7C9F"/>
    <w:rsid w:val="004C0CF7"/>
    <w:rsid w:val="004C159B"/>
    <w:rsid w:val="004C2276"/>
    <w:rsid w:val="004C7311"/>
    <w:rsid w:val="004C7F80"/>
    <w:rsid w:val="004E2AD9"/>
    <w:rsid w:val="004E4AC1"/>
    <w:rsid w:val="005012EB"/>
    <w:rsid w:val="00520889"/>
    <w:rsid w:val="00526A06"/>
    <w:rsid w:val="005316EC"/>
    <w:rsid w:val="005501FF"/>
    <w:rsid w:val="005535BE"/>
    <w:rsid w:val="005545DA"/>
    <w:rsid w:val="00562B11"/>
    <w:rsid w:val="00565386"/>
    <w:rsid w:val="005B4F07"/>
    <w:rsid w:val="005B655E"/>
    <w:rsid w:val="005C15C1"/>
    <w:rsid w:val="005D09AB"/>
    <w:rsid w:val="005D663B"/>
    <w:rsid w:val="005F3B66"/>
    <w:rsid w:val="00602C72"/>
    <w:rsid w:val="00621933"/>
    <w:rsid w:val="006247E3"/>
    <w:rsid w:val="0063467F"/>
    <w:rsid w:val="0064475A"/>
    <w:rsid w:val="00646DAD"/>
    <w:rsid w:val="00647613"/>
    <w:rsid w:val="0065208F"/>
    <w:rsid w:val="006537C6"/>
    <w:rsid w:val="006620FA"/>
    <w:rsid w:val="00662C30"/>
    <w:rsid w:val="0066427F"/>
    <w:rsid w:val="00666B69"/>
    <w:rsid w:val="00680F3F"/>
    <w:rsid w:val="00681056"/>
    <w:rsid w:val="00682881"/>
    <w:rsid w:val="006860E6"/>
    <w:rsid w:val="006937B9"/>
    <w:rsid w:val="006A73BC"/>
    <w:rsid w:val="006D073D"/>
    <w:rsid w:val="006D2B0C"/>
    <w:rsid w:val="006E1863"/>
    <w:rsid w:val="006E1C6A"/>
    <w:rsid w:val="006E6F2D"/>
    <w:rsid w:val="006F6D8D"/>
    <w:rsid w:val="007216CE"/>
    <w:rsid w:val="007334BE"/>
    <w:rsid w:val="00735BC1"/>
    <w:rsid w:val="00736E49"/>
    <w:rsid w:val="007602EA"/>
    <w:rsid w:val="00762CFC"/>
    <w:rsid w:val="0076674B"/>
    <w:rsid w:val="00770F93"/>
    <w:rsid w:val="00790E35"/>
    <w:rsid w:val="007A1745"/>
    <w:rsid w:val="007A35A2"/>
    <w:rsid w:val="007C4CA6"/>
    <w:rsid w:val="007C68B4"/>
    <w:rsid w:val="007D5660"/>
    <w:rsid w:val="007E2ED0"/>
    <w:rsid w:val="007E32B5"/>
    <w:rsid w:val="007E3738"/>
    <w:rsid w:val="007E5DDB"/>
    <w:rsid w:val="007E606F"/>
    <w:rsid w:val="007F0387"/>
    <w:rsid w:val="007F296E"/>
    <w:rsid w:val="0080752F"/>
    <w:rsid w:val="00810689"/>
    <w:rsid w:val="0084381F"/>
    <w:rsid w:val="00853B18"/>
    <w:rsid w:val="00853B41"/>
    <w:rsid w:val="00854328"/>
    <w:rsid w:val="00856FF8"/>
    <w:rsid w:val="00860F09"/>
    <w:rsid w:val="00862EAE"/>
    <w:rsid w:val="008842D2"/>
    <w:rsid w:val="008872C3"/>
    <w:rsid w:val="008943C2"/>
    <w:rsid w:val="00896923"/>
    <w:rsid w:val="008A3E87"/>
    <w:rsid w:val="008B1167"/>
    <w:rsid w:val="008D6680"/>
    <w:rsid w:val="008E281F"/>
    <w:rsid w:val="008F05CD"/>
    <w:rsid w:val="008F6498"/>
    <w:rsid w:val="0090467A"/>
    <w:rsid w:val="00913592"/>
    <w:rsid w:val="009139BC"/>
    <w:rsid w:val="00915F3A"/>
    <w:rsid w:val="0092529A"/>
    <w:rsid w:val="00930CF3"/>
    <w:rsid w:val="009318FB"/>
    <w:rsid w:val="009429C4"/>
    <w:rsid w:val="0095228B"/>
    <w:rsid w:val="009579D4"/>
    <w:rsid w:val="00962B21"/>
    <w:rsid w:val="00966136"/>
    <w:rsid w:val="0096629B"/>
    <w:rsid w:val="00971109"/>
    <w:rsid w:val="009773A1"/>
    <w:rsid w:val="009814E8"/>
    <w:rsid w:val="00997361"/>
    <w:rsid w:val="009A3C78"/>
    <w:rsid w:val="009C2523"/>
    <w:rsid w:val="009C651E"/>
    <w:rsid w:val="009D518A"/>
    <w:rsid w:val="009E2E58"/>
    <w:rsid w:val="009E5FF3"/>
    <w:rsid w:val="009F34EA"/>
    <w:rsid w:val="00A01C13"/>
    <w:rsid w:val="00A0522F"/>
    <w:rsid w:val="00A10E49"/>
    <w:rsid w:val="00A13532"/>
    <w:rsid w:val="00A40F6E"/>
    <w:rsid w:val="00A4386A"/>
    <w:rsid w:val="00A46CA5"/>
    <w:rsid w:val="00A47A43"/>
    <w:rsid w:val="00A5115D"/>
    <w:rsid w:val="00A57E2D"/>
    <w:rsid w:val="00A6110F"/>
    <w:rsid w:val="00A7482A"/>
    <w:rsid w:val="00A84BB2"/>
    <w:rsid w:val="00A86DD8"/>
    <w:rsid w:val="00AA08C8"/>
    <w:rsid w:val="00AA307F"/>
    <w:rsid w:val="00AA7DEB"/>
    <w:rsid w:val="00AB284D"/>
    <w:rsid w:val="00AB560A"/>
    <w:rsid w:val="00AC581F"/>
    <w:rsid w:val="00AE65F0"/>
    <w:rsid w:val="00AF1671"/>
    <w:rsid w:val="00B02809"/>
    <w:rsid w:val="00B03DE9"/>
    <w:rsid w:val="00B052E5"/>
    <w:rsid w:val="00B34E72"/>
    <w:rsid w:val="00B410A5"/>
    <w:rsid w:val="00B45453"/>
    <w:rsid w:val="00B474A5"/>
    <w:rsid w:val="00B520C3"/>
    <w:rsid w:val="00B54C11"/>
    <w:rsid w:val="00B60857"/>
    <w:rsid w:val="00B750C2"/>
    <w:rsid w:val="00BA0802"/>
    <w:rsid w:val="00BA40D6"/>
    <w:rsid w:val="00BB5455"/>
    <w:rsid w:val="00BC10D7"/>
    <w:rsid w:val="00BD468F"/>
    <w:rsid w:val="00BE0B8D"/>
    <w:rsid w:val="00BE32D7"/>
    <w:rsid w:val="00BE5419"/>
    <w:rsid w:val="00BF4F14"/>
    <w:rsid w:val="00C07560"/>
    <w:rsid w:val="00C12D2F"/>
    <w:rsid w:val="00C173F2"/>
    <w:rsid w:val="00C201E0"/>
    <w:rsid w:val="00C27A27"/>
    <w:rsid w:val="00C3343C"/>
    <w:rsid w:val="00C3488C"/>
    <w:rsid w:val="00C4635C"/>
    <w:rsid w:val="00C617ED"/>
    <w:rsid w:val="00C71B0A"/>
    <w:rsid w:val="00C72FE0"/>
    <w:rsid w:val="00C73FAE"/>
    <w:rsid w:val="00C86E82"/>
    <w:rsid w:val="00C9143A"/>
    <w:rsid w:val="00C94FB0"/>
    <w:rsid w:val="00C96215"/>
    <w:rsid w:val="00CA004D"/>
    <w:rsid w:val="00CA5E6C"/>
    <w:rsid w:val="00CA6495"/>
    <w:rsid w:val="00CA7DC8"/>
    <w:rsid w:val="00CB4840"/>
    <w:rsid w:val="00CC18C4"/>
    <w:rsid w:val="00CC7CCA"/>
    <w:rsid w:val="00CE0572"/>
    <w:rsid w:val="00CE5D45"/>
    <w:rsid w:val="00CF75F5"/>
    <w:rsid w:val="00D0017F"/>
    <w:rsid w:val="00D01F96"/>
    <w:rsid w:val="00D14B62"/>
    <w:rsid w:val="00D20D22"/>
    <w:rsid w:val="00D27965"/>
    <w:rsid w:val="00D32C91"/>
    <w:rsid w:val="00D33181"/>
    <w:rsid w:val="00D37473"/>
    <w:rsid w:val="00D409D7"/>
    <w:rsid w:val="00D54F94"/>
    <w:rsid w:val="00D732F0"/>
    <w:rsid w:val="00D820A2"/>
    <w:rsid w:val="00D834F4"/>
    <w:rsid w:val="00D928AC"/>
    <w:rsid w:val="00DA3453"/>
    <w:rsid w:val="00DA36B3"/>
    <w:rsid w:val="00DC65E9"/>
    <w:rsid w:val="00DD4A25"/>
    <w:rsid w:val="00DD5EB0"/>
    <w:rsid w:val="00DE0A3C"/>
    <w:rsid w:val="00DF1484"/>
    <w:rsid w:val="00E06702"/>
    <w:rsid w:val="00E17C24"/>
    <w:rsid w:val="00E21FCF"/>
    <w:rsid w:val="00E27320"/>
    <w:rsid w:val="00E42E17"/>
    <w:rsid w:val="00E50241"/>
    <w:rsid w:val="00E529F6"/>
    <w:rsid w:val="00E6089F"/>
    <w:rsid w:val="00E62108"/>
    <w:rsid w:val="00E62309"/>
    <w:rsid w:val="00E630D6"/>
    <w:rsid w:val="00E67BAF"/>
    <w:rsid w:val="00E7022D"/>
    <w:rsid w:val="00E73284"/>
    <w:rsid w:val="00E7538F"/>
    <w:rsid w:val="00E85E14"/>
    <w:rsid w:val="00E86C08"/>
    <w:rsid w:val="00EA5534"/>
    <w:rsid w:val="00EB41BE"/>
    <w:rsid w:val="00EC00B4"/>
    <w:rsid w:val="00EC0BF0"/>
    <w:rsid w:val="00EC58C7"/>
    <w:rsid w:val="00EC75E6"/>
    <w:rsid w:val="00ED50F6"/>
    <w:rsid w:val="00EE2A94"/>
    <w:rsid w:val="00F00200"/>
    <w:rsid w:val="00F10E24"/>
    <w:rsid w:val="00F3500F"/>
    <w:rsid w:val="00F440AE"/>
    <w:rsid w:val="00F5660E"/>
    <w:rsid w:val="00F56E2D"/>
    <w:rsid w:val="00F6152C"/>
    <w:rsid w:val="00F70E0C"/>
    <w:rsid w:val="00F71E70"/>
    <w:rsid w:val="00F814DE"/>
    <w:rsid w:val="00F82F41"/>
    <w:rsid w:val="00FA1CFA"/>
    <w:rsid w:val="00FA25BB"/>
    <w:rsid w:val="00FA6C35"/>
    <w:rsid w:val="00FA7F43"/>
    <w:rsid w:val="00FB0F66"/>
    <w:rsid w:val="00FB78F1"/>
    <w:rsid w:val="00FB7F5C"/>
    <w:rsid w:val="00FE40CF"/>
    <w:rsid w:val="00FF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32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732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unhideWhenUsed/>
    <w:rsid w:val="00E273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CA5"/>
  </w:style>
  <w:style w:type="paragraph" w:styleId="a6">
    <w:name w:val="footer"/>
    <w:basedOn w:val="a"/>
    <w:link w:val="a7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CA5"/>
  </w:style>
  <w:style w:type="character" w:styleId="a8">
    <w:name w:val="annotation reference"/>
    <w:unhideWhenUsed/>
    <w:rsid w:val="00BB545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5455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BB5455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545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B5455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B54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B545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F2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7328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f">
    <w:name w:val="Revision"/>
    <w:hidden/>
    <w:uiPriority w:val="99"/>
    <w:semiHidden/>
    <w:rsid w:val="002F4A63"/>
    <w:rPr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2E236E"/>
    <w:rPr>
      <w:i/>
      <w:iCs/>
    </w:rPr>
  </w:style>
  <w:style w:type="paragraph" w:customStyle="1" w:styleId="ConsPlusTitle">
    <w:name w:val="ConsPlusTitle"/>
    <w:rsid w:val="008969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ПК</Company>
  <LinksUpToDate>false</LinksUpToDate>
  <CharactersWithSpaces>17081</CharactersWithSpaces>
  <SharedDoc>false</SharedDoc>
  <HLinks>
    <vt:vector size="6" baseType="variant">
      <vt:variant>
        <vt:i4>5570643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consultantplus://offline/ref=A9B2F87D0AF25A9F7DB4A2B3B131B4DB052F4443FB34271F3D19CDD52799A97031B6ED4255F2A9B8F85BB4PFH1M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LPK</dc:creator>
  <cp:lastModifiedBy>gtihaa</cp:lastModifiedBy>
  <cp:revision>2</cp:revision>
  <cp:lastPrinted>2025-01-31T08:36:00Z</cp:lastPrinted>
  <dcterms:created xsi:type="dcterms:W3CDTF">2025-02-17T11:35:00Z</dcterms:created>
  <dcterms:modified xsi:type="dcterms:W3CDTF">2025-02-17T11:35:00Z</dcterms:modified>
</cp:coreProperties>
</file>